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3.png" ContentType="image/png"/>
  <Override PartName="/word/media/rId51.png" ContentType="image/png"/>
  <Override PartName="/word/media/rId46.png" ContentType="image/png"/>
  <Override PartName="/word/media/rId49.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bookmarkStart w:id="24" w:name="part-one"/>
    <w:p>
      <w:pPr>
        <w:pStyle w:val="Heading1"/>
      </w:pPr>
      <w:r>
        <w:t xml:space="preserve">Part One</w:t>
      </w:r>
    </w:p>
    <w:bookmarkEnd w:id="24"/>
    <w:p>
      <w:r>
        <w:rPr>
          <w:b/>
        </w:rPr>
        <w:t xml:space="preserve">O</w:t>
      </w:r>
      <w:r>
        <w:t xml:space="preserve">N December 13, 1912, the new wireless law went into effect.</w:t>
      </w:r>
      <w:r>
        <w:rPr>
          <w:rStyle w:val="FootnoteRef"/>
        </w:rPr>
        <w:footnoteReference w:id="25"/>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6"/>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7"/>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8"/>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29"/>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30" w:name="part-two-wireless-and-the-layman"/>
    <w:p>
      <w:pPr>
        <w:pStyle w:val="Heading1"/>
      </w:pPr>
      <w:r>
        <w:t xml:space="preserve">Part Two: Wireless and the Layman</w:t>
      </w:r>
    </w:p>
    <w:bookmarkEnd w:id="30"/>
    <w:bookmarkStart w:id="31" w:name="receiving-wireless-messages."/>
    <w:p>
      <w:pPr>
        <w:pStyle w:val="Heading2"/>
      </w:pPr>
      <w:r>
        <w:t xml:space="preserve">Receiving Wireless Messages.</w:t>
      </w:r>
    </w:p>
    <w:bookmarkEnd w:id="31"/>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2"/>
      </w:r>
      <w:r>
        <w:t xml:space="preserve"> </w:t>
      </w:r>
      <w:r>
        <w:t xml:space="preserve">It is self-evident though, that you can start with the very cheapest outfit,—say an E. I. Co. detector and a pony telephone receiver.</w:t>
      </w:r>
      <w:r>
        <w:rPr>
          <w:rStyle w:val="FootnoteRef"/>
        </w:rPr>
        <w:footnoteReference w:id="33"/>
      </w:r>
      <w:r>
        <w:t xml:space="preserve"> </w:t>
      </w:r>
      <w:r>
        <w:t xml:space="preserve">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4"/>
      </w:r>
      <w:r>
        <w:t xml:space="preserve"> </w:t>
      </w:r>
      <w:r>
        <w:t xml:space="preserve">Here is the text of the Law:</w:t>
      </w:r>
    </w:p>
    <w:bookmarkStart w:id="35" w:name="secrecy-of-messages."/>
    <w:p>
      <w:pPr>
        <w:pStyle w:val="Heading2"/>
      </w:pPr>
      <w:r>
        <w:t xml:space="preserve">Secrecy of Messages.</w:t>
      </w:r>
    </w:p>
    <w:bookmarkEnd w:id="35"/>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6" w:name="distance."/>
    <w:p>
      <w:pPr>
        <w:pStyle w:val="Heading2"/>
      </w:pPr>
      <w:r>
        <w:t xml:space="preserve">Distance.</w:t>
      </w:r>
    </w:p>
    <w:bookmarkEnd w:id="36"/>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7"/>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41"/>
      </w:r>
    </w:p>
    <w:bookmarkStart w:id="42" w:name="wave-lengths-and-tuning."/>
    <w:p>
      <w:pPr>
        <w:pStyle w:val="Heading2"/>
      </w:pPr>
      <w:r>
        <w:t xml:space="preserve">Wave Lengths and Tuning.</w:t>
      </w:r>
    </w:p>
    <w:bookmarkEnd w:id="42"/>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3"/>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r>
        <w:rPr>
          <w:rStyle w:val="FootnoteRef"/>
        </w:rPr>
        <w:footnoteReference w:id="44"/>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5"/>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7" w:name="connections-and-hook-ups."/>
    <w:p>
      <w:pPr>
        <w:pStyle w:val="Heading2"/>
      </w:pPr>
      <w:r>
        <w:t xml:space="preserve">Connections and Hook-Ups.</w:t>
      </w:r>
    </w:p>
    <w:bookmarkEnd w:id="47"/>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8" w:name="reception-of-messages."/>
    <w:p>
      <w:pPr>
        <w:pStyle w:val="Heading2"/>
      </w:pPr>
      <w:r>
        <w:t xml:space="preserve">Reception of Messages.</w:t>
      </w:r>
    </w:p>
    <w:bookmarkEnd w:id="48"/>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9"/>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50"/>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52" w:name="sending-messages."/>
    <w:p>
      <w:pPr>
        <w:pStyle w:val="Heading2"/>
      </w:pPr>
      <w:r>
        <w:t xml:space="preserve">Sending Messages.</w:t>
      </w:r>
    </w:p>
    <w:bookmarkEnd w:id="52"/>
    <w:p>
      <w:r>
        <w:t xml:space="preserve">Let us quote the law, as far as the amateur is concerned, before going any further:</w:t>
      </w:r>
    </w:p>
    <w:bookmarkStart w:id="53" w:name="the-wireless-act."/>
    <w:p>
      <w:pPr>
        <w:pStyle w:val="Heading2"/>
      </w:pPr>
      <w:r>
        <w:t xml:space="preserve">The Wireless Act.</w:t>
      </w:r>
    </w:p>
    <w:bookmarkEnd w:id="53"/>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4"/>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5" w:name="general-restrictions-on-private-station."/>
    <w:p>
      <w:pPr>
        <w:pStyle w:val="Heading2"/>
      </w:pPr>
      <w:r>
        <w:t xml:space="preserve">General Restrictions on Private Station.</w:t>
      </w:r>
    </w:p>
    <w:bookmarkEnd w:id="55"/>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6" w:name="special-restrictions-in-the-vicinities-of-government-stations."/>
    <w:p>
      <w:pPr>
        <w:pStyle w:val="Heading2"/>
      </w:pPr>
      <w:r>
        <w:t xml:space="preserve">Special Restrictions in the Vicinities of Government Stations.</w:t>
      </w:r>
    </w:p>
    <w:bookmarkEnd w:id="56"/>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7" w:name="what-the-license-is."/>
    <w:p>
      <w:pPr>
        <w:pStyle w:val="Heading2"/>
      </w:pPr>
      <w:r>
        <w:t xml:space="preserve">What the License Is.</w:t>
      </w:r>
    </w:p>
    <w:bookmarkEnd w:id="57"/>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8"/>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9"/>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60"/>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61" w:name="sending-a-message."/>
    <w:p>
      <w:pPr>
        <w:pStyle w:val="Heading2"/>
      </w:pPr>
      <w:r>
        <w:t xml:space="preserve">Sending a Message.</w:t>
      </w:r>
    </w:p>
    <w:bookmarkEnd w:id="61"/>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62"/>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This two-part article began its run in the very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(see Ashley, Gernsback Days, p. 31)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w:t>
      </w:r>
    </w:p>
    <w:p>
      <w:pPr>
        <w:pStyle w:val="FootnoteText"/>
      </w:pPr>
      <w:r>
        <w:t xml:space="preserve">Published in the wake of the 1912 Radio Act and the growing popularity of wireless homewbrew, this editorial served as a primer for newcomers to the art, covering everything from the barest necessary equipment, code, and the secrecy of messages.</w:t>
      </w:r>
    </w:p>
    <w:p>
      <w:pPr>
        <w:pStyle w:val="FootnoteText"/>
      </w:pP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6">
    <w:p>
      <w:pPr>
        <w:pStyle w:val="FootnoteText"/>
      </w:pPr>
      <w:r>
        <w:rPr>
          <w:rStyle w:val="FootnoteRef"/>
        </w:rPr>
        <w:footnoteRef/>
      </w:r>
      <w:r>
        <w:t xml:space="preserve">See</w:t>
      </w:r>
      <w:r>
        <w:t xml:space="preserve"> </w:t>
      </w:r>
      <w:r>
        <w:rPr>
          <w:b/>
        </w:rPr>
        <w:t xml:space="preserve">“</w:t>
      </w:r>
      <w:r>
        <w:rPr>
          <w:b/>
        </w:rPr>
        <w:t xml:space="preserve">The Wireless Joker.</w:t>
      </w:r>
      <w:r>
        <w:rPr>
          <w:b/>
        </w:rPr>
        <w:t xml:space="preserve">”</w:t>
      </w:r>
    </w:p>
  </w:footnote>
  <w:footnote w:id="27">
    <w:p>
      <w:pPr>
        <w:pStyle w:val="FootnoteText"/>
      </w:pPr>
      <w:r>
        <w:rPr>
          <w:rStyle w:val="FootnoteRef"/>
        </w:rPr>
        <w:footnoteRef/>
      </w:r>
      <w:r>
        <w:t xml:space="preserve">See</w:t>
      </w:r>
      <w:r>
        <w:t xml:space="preserve"> </w:t>
      </w:r>
      <w:r>
        <w:rPr>
          <w:b/>
        </w:rPr>
        <w:t xml:space="preserve">“</w:t>
      </w:r>
      <w:r>
        <w:rPr>
          <w:b/>
        </w:rPr>
        <w:t xml:space="preserve">Wireless Association of America.</w:t>
      </w:r>
      <w:r>
        <w:rPr>
          <w:b/>
        </w:rPr>
        <w:t xml:space="preserve">”</w:t>
      </w:r>
    </w:p>
  </w:footnote>
  <w:footnote w:id="28">
    <w:p>
      <w:pPr>
        <w:pStyle w:val="FootnoteText"/>
      </w:pPr>
      <w:r>
        <w:rPr>
          <w:rStyle w:val="FootnoteRef"/>
        </w:rPr>
        <w:footnoteRef/>
      </w:r>
      <w:r>
        <w:t xml:space="preserve">See</w:t>
      </w:r>
      <w:r>
        <w:t xml:space="preserve"> </w:t>
      </w:r>
      <w:r>
        <w:rPr>
          <w:b/>
        </w:rPr>
        <w:t xml:space="preserve">“</w:t>
      </w:r>
      <w:r>
        <w:rPr>
          <w:b/>
        </w:rPr>
        <w:t xml:space="preserve">The Roberts Wireless Bill.</w:t>
      </w:r>
      <w:r>
        <w:rPr>
          <w:b/>
        </w:rPr>
        <w:t xml:space="preserve">”</w:t>
      </w:r>
    </w:p>
  </w:footnote>
  <w:footnote w:id="29">
    <w:p>
      <w:pPr>
        <w:pStyle w:val="FootnoteText"/>
      </w:pPr>
      <w:r>
        <w:rPr>
          <w:rStyle w:val="FootnoteRef"/>
        </w:rPr>
        <w:footnoteRef/>
      </w:r>
      <w:r>
        <w:t xml:space="preserve">See</w:t>
      </w:r>
      <w:r>
        <w:t xml:space="preserve"> </w:t>
      </w:r>
      <w:r>
        <w:rPr>
          <w:b/>
        </w:rPr>
        <w:t xml:space="preserve">“</w:t>
      </w:r>
      <w:r>
        <w:rPr>
          <w:b/>
        </w:rPr>
        <w:t xml:space="preserve">The Alexander Wireless Bill.</w:t>
      </w:r>
      <w:r>
        <w:rPr>
          <w:b/>
        </w:rPr>
        <w:t xml:space="preserve">”</w:t>
      </w:r>
    </w:p>
  </w:footnote>
  <w:footnote w:id="32">
    <w:p>
      <w:pPr>
        <w:pStyle w:val="FootnoteText"/>
      </w:pPr>
      <w:r>
        <w:rPr>
          <w:rStyle w:val="FootnoteRef"/>
        </w:rPr>
        <w:footnoteRef/>
      </w:r>
      <w:r>
        <w:t xml:space="preserve">How does a tuning coil work?</w:t>
      </w:r>
    </w:p>
  </w:footnote>
  <w:footnote w:id="33">
    <w:p>
      <w:pPr>
        <w:pStyle w:val="FootnoteText"/>
      </w:pPr>
      <w:r>
        <w:rPr>
          <w:rStyle w:val="FootnoteRef"/>
        </w:rPr>
        <w:footnoteRef/>
      </w:r>
      <w:r>
        <w:t xml:space="preserve">The</w:t>
      </w:r>
      <w:r>
        <w:t xml:space="preserve"> </w:t>
      </w:r>
      <w:r>
        <w:t xml:space="preserve">“</w:t>
      </w:r>
      <w:r>
        <w:t xml:space="preserve">pony receiver</w:t>
      </w:r>
      <w:r>
        <w:t xml:space="preserve">”</w:t>
      </w:r>
      <w:r>
        <w:t xml:space="preserve"> </w:t>
      </w:r>
      <w:r>
        <w:t xml:space="preserve">is the component of the candlestick style telephones popular throughout the early twentieth century that was held to the ear. In a pinch, it could be used as a cheap and simple</w:t>
      </w:r>
      <w:r>
        <w:t xml:space="preserve"> </w:t>
      </w:r>
      <w:r>
        <w:t xml:space="preserve">“</w:t>
      </w:r>
      <w:r>
        <w:t xml:space="preserve">speaker</w:t>
      </w:r>
      <w:r>
        <w:t xml:space="preserve">”</w:t>
      </w:r>
      <w:r>
        <w:t xml:space="preserve"> </w:t>
      </w:r>
      <w:r>
        <w:t xml:space="preserve">for wireless telegraph sets.</w:t>
      </w:r>
    </w:p>
  </w:footnote>
  <w:footnote w:id="34">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the computational medium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at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w:t>
      </w:r>
    </w:p>
    <w:p>
      <w:pPr>
        <w:pStyle w:val="FootnoteText"/>
      </w:pP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7">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LEDs, and then a common workshop mainstay</w:t>
      </w:r>
      <w:r>
        <w:t xml:space="preserve"> </w:t>
      </w:r>
      <w:r>
        <w:t xml:space="preserve">“</w:t>
      </w:r>
      <w:r>
        <w:t xml:space="preserve">used for grinding and polishing components of electrolytic detectors or coherers.</w:t>
      </w:r>
      <w:r>
        <w:t xml:space="preserve">”</w:t>
      </w:r>
      <w:r>
        <w:t xml:space="preserve"> </w:t>
      </w:r>
      <w:r>
        <w:t xml:space="preserve">In effect, the chemical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38">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39">
        <w:r>
          <w:rPr>
            <w:rStyle w:val="Link"/>
          </w:rPr>
          <w:t xml:space="preserve">10.1109/MSPEC.1981.6369482</w:t>
        </w:r>
      </w:hyperlink>
      <w:r>
        <w:t xml:space="preserve"/>
      </w:r>
      <w:r>
        <w:t xml:space="preserve">.</w:t>
      </w:r>
    </w:p>
    <w:p>
      <w:pPr>
        <w:pStyle w:val="FootnoteText"/>
      </w:pPr>
      <w:r>
        <w:t xml:space="preserve">Meanwhile, the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p>
      <w:pPr>
        <w:pStyle w:val="FootnoteText"/>
      </w:pPr>
      <w:r>
        <w:t xml:space="preserve">One has to wonder about the experience not only of communicating in private, perhaps in secret, through code and the intimacy of a headset, but also of the mineral proficiencies, the material awareness these amateurs had of their apparatus. News from New York may become audible to a rural midwesterner if only he could find some molybdenite, or a supplier willing to ship him the nitric acid needed to try out a new electrolytic detector.</w:t>
      </w:r>
    </w:p>
    <w:p>
      <w:pPr>
        <w:pStyle w:val="FootnoteText"/>
      </w:pPr>
      <w:r>
        <w:t xml:space="preserve">Images such as these seem especially especially poignant in light of recent calls for a critical awareness of the mining of rare earth minerals used in today’s increasingly complex digital devices, and the environmental toll of electronic waste once we inevitably replace these devices for new ones. Jussi Parikka writes of materiality in terms of a</w:t>
      </w:r>
      <w:r>
        <w:t xml:space="preserve"> </w:t>
      </w:r>
      <w:r>
        <w:t xml:space="preserve">“</w:t>
      </w:r>
      <w:r>
        <w:t xml:space="preserve">persistance that lingers across scales from minerals and chemical elements to the lungs and organic tissue.</w:t>
      </w:r>
      <w:r>
        <w:t xml:space="preserve">”</w:t>
      </w:r>
      <w:r>
        <w:t xml:space="preserve"> </w:t>
      </w:r>
      <w:r>
        <w:t xml:space="preserve">He continues:</w:t>
      </w:r>
      <w:r>
        <w:t xml:space="preserve"> </w:t>
      </w:r>
      <w:r>
        <w:t xml:space="preserve">“</w:t>
      </w:r>
      <w:r>
        <w:t xml:space="preserve">The device is enabled by dubious labor practices, including child labor in the mines of Congo; the appalling working conditions, which lead to a number of scuicides in the Foxconn factories in China; and the planned obsolescence designed into the product which also contributes to its weight share of electronic waste problems.</w:t>
      </w:r>
      <w:r>
        <w:t xml:space="preserve">”</w:t>
      </w:r>
      <w:r>
        <w:t xml:space="preserve"> </w:t>
      </w:r>
      <w:r>
        <w:t xml:space="preserve">Jussi Parikka, “Dust and Exhaustion: The Labor of Media Materialism,”</w:t>
      </w:r>
      <w:r>
        <w:t xml:space="preserve"> </w:t>
      </w:r>
      <w:r>
        <w:rPr>
          <w:i/>
        </w:rPr>
        <w:t xml:space="preserve">CTheory</w:t>
      </w:r>
      <w:r>
        <w:t xml:space="preserve">, (October 2013),</w:t>
      </w:r>
      <w:r>
        <w:t xml:space="preserve"> </w:t>
      </w:r>
      <w:hyperlink r:id="rId40">
        <w:r>
          <w:rPr>
            <w:rStyle w:val="Link"/>
          </w:rPr>
          <w:t xml:space="preserve">http://www.ctheory.net/articles.aspx?id=726</w:t>
        </w:r>
      </w:hyperlink>
      <w:r>
        <w:t xml:space="preserve"/>
      </w:r>
      <w:r>
        <w:t xml:space="preserve"> </w:t>
      </w:r>
      <w:r>
        <w:t xml:space="preserve">See also Timothy Morton’s recent work on what he calls</w:t>
      </w:r>
      <w:r>
        <w:t xml:space="preserve"> </w:t>
      </w:r>
      <w:r>
        <w:t xml:space="preserve">“</w:t>
      </w:r>
      <w:r>
        <w:t xml:space="preserve">hyperobjects</w:t>
      </w:r>
      <w:r>
        <w:t xml:space="preserve">”</w:t>
      </w:r>
      <w:r>
        <w:t xml:space="preserve">: things that</w:t>
      </w:r>
      <w:r>
        <w:t xml:space="preserve"> </w:t>
      </w:r>
      <w:r>
        <w:t xml:space="preserve">“</w:t>
      </w:r>
      <w:r>
        <w:t xml:space="preserve">do not rot in our lifetimes. They do not burn without themselves burning (releasing radiation, dioxins, and so on). The ecological thought must think the future of these objects, these toxic things that appear almost more real than reality itself, like the acidic blood of the Alien in Ridley Scott’s film, which burns through metal floors.</w:t>
      </w:r>
      <w:r>
        <w:t xml:space="preserve">”</w:t>
      </w:r>
      <w:r>
        <w:t xml:space="preserve"> </w:t>
      </w:r>
      <w:r>
        <w:t xml:space="preserve">Timothy Morton,</w:t>
      </w:r>
      <w:r>
        <w:t xml:space="preserve"> </w:t>
      </w:r>
      <w:r>
        <w:rPr>
          <w:i/>
        </w:rPr>
        <w:t xml:space="preserve">The Ecological Thought</w:t>
      </w:r>
      <w:r>
        <w:t xml:space="preserve">, (Cambridge: Harvard University Press, 2012)</w:t>
      </w:r>
      <w:r>
        <w:t xml:space="preserve">, p. 130.</w:t>
      </w:r>
    </w:p>
  </w:footnote>
  <w:footnote w:id="41">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4">
    <w:p>
      <w:pPr>
        <w:pStyle w:val="FootnoteText"/>
      </w:pPr>
      <w:r>
        <w:rPr>
          <w:rStyle w:val="FootnoteRef"/>
        </w:rPr>
        <w:footnoteRef/>
      </w:r>
      <w:r>
        <w:t xml:space="preserve">Describe this slider motion, what does it mean to</w:t>
      </w:r>
      <w:r>
        <w:t xml:space="preserve"> </w:t>
      </w:r>
      <w:r>
        <w:t xml:space="preserve">“</w:t>
      </w:r>
      <w:r>
        <w:t xml:space="preserve">tune</w:t>
      </w:r>
      <w:r>
        <w:t xml:space="preserve">”</w:t>
      </w:r>
      <w:r>
        <w:t xml:space="preserve"> </w:t>
      </w:r>
      <w:r>
        <w:t xml:space="preserve">in this way, what does the gesture look like? Tuner knob turned at same time as condenser knob? See</w:t>
      </w:r>
      <w:r>
        <w:t xml:space="preserve"> </w:t>
      </w:r>
      <w:r>
        <w:t xml:space="preserve">“</w:t>
      </w:r>
      <w:r>
        <w:t xml:space="preserve">Thus by adjusting the tuner…</w:t>
      </w:r>
      <w:r>
        <w:t xml:space="preserve">”</w:t>
      </w:r>
    </w:p>
  </w:footnote>
  <w:footnote w:id="45">
    <w:p>
      <w:pPr>
        <w:pStyle w:val="FootnoteText"/>
      </w:pPr>
      <w:r>
        <w:rPr>
          <w:rStyle w:val="FootnoteRef"/>
        </w:rPr>
        <w:footnoteRef/>
      </w:r>
      <w:r>
        <w:t xml:space="preserve">Today, radio spectrum is an endangered resource with the rapid expansion and global adoption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6"/>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50">
    <w:p>
      <w:pPr>
        <w:pStyle w:val="FootnoteText"/>
      </w:pPr>
      <w:r>
        <w:rPr>
          <w:rStyle w:val="FootnoteRef"/>
        </w:rPr>
        <w:footnoteRef/>
      </w:r>
      <w:r>
        <w:t xml:space="preserve">A loose coupler could stand in place of a tuning coil?</w:t>
      </w:r>
      <w:r>
        <w:t xml:space="preserve"> </w:t>
      </w:r>
      <w:r>
        <w:t xml:space="preserve">“</w:t>
      </w:r>
      <w:r>
        <w:t xml:space="preserve">In order to obtain maximum sharpness of tuning loose coupling between oscillating and receiving circuits is of utmost importance. Hitherto it has been the prevailing custom to merely separate the two coils, a method which of course, is very crude. With powerful and slightly damped received impulses, this separation is frequently required to be so large as to be impractical. [… The loose coupler] permits of a coupling which is theoretically infinitely loose—something not accomplished by great separation nor by merely turning the axes of two coils at right angles to one another. The inner spherical coil, showin in the illustration, is made up of several layers of wire on a spherical ebonite drum, wound in a peculiar fashion to bring each wire to the surface equally. This inner coil can instantly be removed and replaced by another, having a different inductance value. On account of the design of this coil the air gap between the fixed inner and the rotating outer coil is very small. The outer coil can be changed in any position and may be used either as primary or secondary of the oscillation transformer, as desired.</w:t>
      </w:r>
      <w:r>
        <w:t xml:space="preserve">”</w:t>
      </w:r>
      <w:r>
        <w:t xml:space="preserve"> </w:t>
      </w:r>
      <w:r>
        <w:t xml:space="preserve">Anon., “Modern Wireless Instruments,</w:t>
      </w:r>
      <w:r>
        <w:t xml:space="preserve"> </w:t>
      </w:r>
      <w:r>
        <w:rPr>
          <w:i/>
        </w:rPr>
        <w:t xml:space="preserve">Modern Electrics</w:t>
      </w:r>
      <w:r>
        <w:t xml:space="preserve">, January 1909.</w:t>
      </w:r>
    </w:p>
    <w:p>
      <w:pPr>
        <w:pStyle w:val="FootnoteText"/>
      </w:pPr>
      <w:r>
        <w:drawing>
          <wp:inline>
            <wp:extent cx="9715500" cy="8839200"/>
            <wp:effectExtent b="0" l="0" r="0" t="0"/>
            <wp:docPr descr="" id="1" name="Picture"/>
            <a:graphic>
              <a:graphicData uri="http://schemas.openxmlformats.org/drawingml/2006/picture">
                <pic:pic>
                  <pic:nvPicPr>
                    <pic:cNvPr descr="images/loose_coupler.png" id="0" name="Picture"/>
                    <pic:cNvPicPr>
                      <a:picLocks noChangeArrowheads="1" noChangeAspect="1"/>
                    </pic:cNvPicPr>
                  </pic:nvPicPr>
                  <pic:blipFill>
                    <a:blip r:embed="rId51"/>
                    <a:stretch>
                      <a:fillRect/>
                    </a:stretch>
                  </pic:blipFill>
                  <pic:spPr bwMode="auto">
                    <a:xfrm>
                      <a:off x="0" y="0"/>
                      <a:ext cx="9715500" cy="8839200"/>
                    </a:xfrm>
                    <a:prstGeom prst="rect">
                      <a:avLst/>
                    </a:prstGeom>
                    <a:noFill/>
                    <a:ln w="9525">
                      <a:noFill/>
                      <a:headEnd/>
                      <a:tailEnd/>
                    </a:ln>
                  </pic:spPr>
                </pic:pic>
              </a:graphicData>
            </a:graphic>
          </wp:inline>
        </w:drawing>
      </w:r>
      <w:r>
        <w:t xml:space="preserve"> </w:t>
      </w:r>
    </w:p>
  </w:footnote>
  <w:footnote w:id="54">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8">
    <w:p>
      <w:pPr>
        <w:pStyle w:val="FootnoteText"/>
      </w:pPr>
      <w:r>
        <w:rPr>
          <w:rStyle w:val="FootnoteRef"/>
        </w:rPr>
        <w:footnoteRef/>
      </w:r>
      <w:r>
        <w:t xml:space="preserve">Explain variable condenser/leyden jar and oscillation transformer/helix.</w:t>
      </w:r>
    </w:p>
  </w:footnote>
  <w:footnote w:id="60">
    <w:p>
      <w:pPr>
        <w:pStyle w:val="FootnoteText"/>
      </w:pPr>
      <w:r>
        <w:rPr>
          <w:rStyle w:val="FootnoteRef"/>
        </w:rPr>
        <w:footnoteRef/>
      </w:r>
      <w:r>
        <w:t xml:space="preserve">The design of this component is first detailed by Gernsback in</w:t>
      </w:r>
      <w:r>
        <w:t xml:space="preserve"> </w:t>
      </w:r>
      <w:r>
        <w:rPr>
          <w:b/>
        </w:rPr>
        <w:t xml:space="preserve">“</w:t>
      </w:r>
      <w:r>
        <w:rPr>
          <w:b/>
        </w:rPr>
        <w:t xml:space="preserve">A New Interrupter.</w:t>
      </w:r>
      <w:r>
        <w:rPr>
          <w:b/>
        </w:rPr>
        <w:t xml:space="preserve">”</w:t>
      </w:r>
    </w:p>
  </w:footnote>
  <w:footnote w:id="62">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607238c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9" Target="media/rId59.png" /><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_rels/footnotes.xml.rels><?xml version="1.0" encoding="UTF-8"?>
<Relationships xmlns="http://schemas.openxmlformats.org/package/2006/relationships"><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